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sz w:val="20"/>
          <w:szCs w:val="20"/>
        </w:rPr>
      </w:pPr>
      <w:r w:rsidDel="00000000" w:rsidR="00000000" w:rsidRPr="00000000">
        <w:rPr>
          <w:rtl w:val="0"/>
        </w:rPr>
      </w:r>
    </w:p>
    <w:tbl>
      <w:tblPr>
        <w:tblStyle w:val="Table1"/>
        <w:tblW w:w="9360.0" w:type="dxa"/>
        <w:jc w:val="left"/>
        <w:tblInd w:w="100.0" w:type="pct"/>
        <w:tblLayout w:type="fixed"/>
        <w:tblLook w:val="0600"/>
      </w:tblPr>
      <w:tblGrid>
        <w:gridCol w:w="4680"/>
        <w:gridCol w:w="4680"/>
        <w:tblGridChange w:id="0">
          <w:tblGrid>
            <w:gridCol w:w="4680"/>
            <w:gridCol w:w="468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76" w:lineRule="auto"/>
              <w:jc w:val="center"/>
              <w:rPr>
                <w:b w:val="1"/>
                <w:sz w:val="20"/>
                <w:szCs w:val="20"/>
              </w:rPr>
            </w:pPr>
            <w:r w:rsidDel="00000000" w:rsidR="00000000" w:rsidRPr="00000000">
              <w:rPr>
                <w:b w:val="1"/>
                <w:sz w:val="20"/>
                <w:szCs w:val="20"/>
                <w:rtl w:val="0"/>
              </w:rPr>
              <w:t xml:space="preserve">PLNOMOCENSTVO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76" w:lineRule="auto"/>
              <w:jc w:val="center"/>
              <w:rPr>
                <w:b w:val="1"/>
                <w:sz w:val="20"/>
                <w:szCs w:val="20"/>
              </w:rPr>
            </w:pPr>
            <w:r w:rsidDel="00000000" w:rsidR="00000000" w:rsidRPr="00000000">
              <w:rPr>
                <w:b w:val="1"/>
                <w:sz w:val="20"/>
                <w:szCs w:val="20"/>
                <w:rtl w:val="0"/>
              </w:rPr>
              <w:t xml:space="preserve">POWER OF ATTORNEY</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76" w:lineRule="auto"/>
              <w:jc w:val="both"/>
              <w:rPr>
                <w:sz w:val="20"/>
                <w:szCs w:val="20"/>
              </w:rPr>
            </w:pPr>
            <w:r w:rsidDel="00000000" w:rsidR="00000000" w:rsidRPr="00000000">
              <w:rPr>
                <w:color w:val="1d1c1d"/>
                <w:sz w:val="20"/>
                <w:szCs w:val="20"/>
                <w:highlight w:val="white"/>
                <w:rtl w:val="0"/>
              </w:rPr>
              <w:t xml:space="preserve">[</w:t>
            </w:r>
            <w:commentRangeStart w:id="0"/>
            <w:r w:rsidDel="00000000" w:rsidR="00000000" w:rsidRPr="00000000">
              <w:rPr>
                <w:color w:val="1d1c1d"/>
                <w:sz w:val="20"/>
                <w:szCs w:val="20"/>
                <w:highlight w:val="yellow"/>
                <w:rtl w:val="0"/>
              </w:rPr>
              <w:t xml:space="preserve">Meno a priezvisko</w:t>
            </w:r>
            <w:commentRangeEnd w:id="0"/>
            <w:r w:rsidDel="00000000" w:rsidR="00000000" w:rsidRPr="00000000">
              <w:commentReference w:id="0"/>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trvale bytom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ulica, číslo, PSČ, mesto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Slovenská republika, dátum narodenia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dátum narodenia</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(ďalej ako „</w:t>
            </w:r>
            <w:r w:rsidDel="00000000" w:rsidR="00000000" w:rsidRPr="00000000">
              <w:rPr>
                <w:b w:val="1"/>
                <w:sz w:val="20"/>
                <w:szCs w:val="20"/>
                <w:rtl w:val="0"/>
              </w:rPr>
              <w:t xml:space="preserve">Splnomocniteľ</w:t>
            </w:r>
            <w:r w:rsidDel="00000000" w:rsidR="00000000" w:rsidRPr="00000000">
              <w:rPr>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spacing w:line="276" w:lineRule="auto"/>
              <w:jc w:val="both"/>
              <w:rPr>
                <w:sz w:val="20"/>
                <w:szCs w:val="20"/>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Name and surname</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permanently residing at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street, number, postcode, city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the Slovak Republic, date of birth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date of birth</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(the “</w:t>
            </w:r>
            <w:r w:rsidDel="00000000" w:rsidR="00000000" w:rsidRPr="00000000">
              <w:rPr>
                <w:b w:val="1"/>
                <w:sz w:val="20"/>
                <w:szCs w:val="20"/>
                <w:rtl w:val="0"/>
              </w:rPr>
              <w:t xml:space="preserve">Principal</w:t>
            </w:r>
            <w:r w:rsidDel="00000000" w:rsidR="00000000" w:rsidRPr="00000000">
              <w:rPr>
                <w:sz w:val="20"/>
                <w:szCs w:val="20"/>
                <w:rtl w:val="0"/>
              </w:rPr>
              <w:t xml:space="preserve">”)</w:t>
            </w:r>
            <w:r w:rsidDel="00000000" w:rsidR="00000000" w:rsidRPr="00000000">
              <w:rPr>
                <w:sz w:val="20"/>
                <w:szCs w:val="20"/>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6">
            <w:pPr>
              <w:spacing w:line="276" w:lineRule="auto"/>
              <w:jc w:val="center"/>
              <w:rPr>
                <w:b w:val="1"/>
                <w:color w:val="1d1c1d"/>
                <w:sz w:val="20"/>
                <w:szCs w:val="20"/>
                <w:highlight w:val="white"/>
              </w:rPr>
            </w:pPr>
            <w:r w:rsidDel="00000000" w:rsidR="00000000" w:rsidRPr="00000000">
              <w:rPr>
                <w:b w:val="1"/>
                <w:color w:val="1d1c1d"/>
                <w:sz w:val="20"/>
                <w:szCs w:val="20"/>
                <w:highlight w:val="white"/>
                <w:rtl w:val="0"/>
              </w:rPr>
              <w:t xml:space="preserve">týmto splnomocňuje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jc w:val="center"/>
              <w:rPr>
                <w:b w:val="1"/>
                <w:color w:val="1d1c1d"/>
                <w:sz w:val="20"/>
                <w:szCs w:val="20"/>
                <w:highlight w:val="white"/>
              </w:rPr>
            </w:pPr>
            <w:r w:rsidDel="00000000" w:rsidR="00000000" w:rsidRPr="00000000">
              <w:rPr>
                <w:b w:val="1"/>
                <w:color w:val="1d1c1d"/>
                <w:sz w:val="20"/>
                <w:szCs w:val="20"/>
                <w:highlight w:val="white"/>
                <w:rtl w:val="0"/>
              </w:rPr>
              <w:t xml:space="preserve">hereby authorizes</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8">
            <w:pPr>
              <w:spacing w:line="276" w:lineRule="auto"/>
              <w:jc w:val="both"/>
              <w:rPr>
                <w:sz w:val="20"/>
                <w:szCs w:val="20"/>
              </w:rPr>
            </w:pPr>
            <w:r w:rsidDel="00000000" w:rsidR="00000000" w:rsidRPr="00000000">
              <w:rPr>
                <w:color w:val="1d1c1d"/>
                <w:sz w:val="20"/>
                <w:szCs w:val="20"/>
                <w:highlight w:val="white"/>
                <w:rtl w:val="0"/>
              </w:rPr>
              <w:t xml:space="preserve">[</w:t>
            </w:r>
            <w:commentRangeStart w:id="1"/>
            <w:r w:rsidDel="00000000" w:rsidR="00000000" w:rsidRPr="00000000">
              <w:rPr>
                <w:color w:val="1d1c1d"/>
                <w:sz w:val="20"/>
                <w:szCs w:val="20"/>
                <w:highlight w:val="yellow"/>
                <w:rtl w:val="0"/>
              </w:rPr>
              <w:t xml:space="preserve">Meno a priezvisko</w:t>
            </w:r>
            <w:commentRangeEnd w:id="1"/>
            <w:r w:rsidDel="00000000" w:rsidR="00000000" w:rsidRPr="00000000">
              <w:commentReference w:id="1"/>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trvale bytom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ulica, číslo, PSČ, mesto</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Slovenská republika, dátum narodenia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dátum narodenia</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(ďalej ako </w:t>
            </w:r>
            <w:r w:rsidDel="00000000" w:rsidR="00000000" w:rsidRPr="00000000">
              <w:rPr>
                <w:sz w:val="20"/>
                <w:szCs w:val="20"/>
                <w:rtl w:val="0"/>
              </w:rPr>
              <w:t xml:space="preserve">„</w:t>
            </w:r>
            <w:r w:rsidDel="00000000" w:rsidR="00000000" w:rsidRPr="00000000">
              <w:rPr>
                <w:b w:val="1"/>
                <w:sz w:val="20"/>
                <w:szCs w:val="20"/>
                <w:rtl w:val="0"/>
              </w:rPr>
              <w:t xml:space="preserve">Splnomocnenec</w:t>
            </w:r>
            <w:r w:rsidDel="00000000" w:rsidR="00000000" w:rsidRPr="00000000">
              <w:rPr>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9">
            <w:pPr>
              <w:spacing w:line="276" w:lineRule="auto"/>
              <w:jc w:val="both"/>
              <w:rPr>
                <w:sz w:val="20"/>
                <w:szCs w:val="20"/>
              </w:rPr>
            </w:pP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Name and surname</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permanently residing at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street, number, postcode, city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the Slovak Republic, date of birth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date of birth</w:t>
            </w:r>
            <w:r w:rsidDel="00000000" w:rsidR="00000000" w:rsidRPr="00000000">
              <w:rPr>
                <w:color w:val="1d1c1d"/>
                <w:sz w:val="20"/>
                <w:szCs w:val="20"/>
                <w:highlight w:val="white"/>
                <w:rtl w:val="0"/>
              </w:rPr>
              <w:t xml:space="preserve">] </w:t>
            </w:r>
            <w:r w:rsidDel="00000000" w:rsidR="00000000" w:rsidRPr="00000000">
              <w:rPr>
                <w:sz w:val="20"/>
                <w:szCs w:val="20"/>
                <w:rtl w:val="0"/>
              </w:rPr>
              <w:t xml:space="preserve">(the “</w:t>
            </w:r>
            <w:r w:rsidDel="00000000" w:rsidR="00000000" w:rsidRPr="00000000">
              <w:rPr>
                <w:b w:val="1"/>
                <w:sz w:val="20"/>
                <w:szCs w:val="20"/>
                <w:rtl w:val="0"/>
              </w:rPr>
              <w:t xml:space="preserve">Agent</w:t>
            </w:r>
            <w:r w:rsidDel="00000000" w:rsidR="00000000" w:rsidRPr="00000000">
              <w:rPr>
                <w:sz w:val="20"/>
                <w:szCs w:val="20"/>
                <w:rtl w:val="0"/>
              </w:rPr>
              <w:t xml:space="preserve">”)</w:t>
            </w:r>
            <w:r w:rsidDel="00000000" w:rsidR="00000000" w:rsidRPr="00000000">
              <w:rPr>
                <w:sz w:val="20"/>
                <w:szCs w:val="20"/>
                <w:rtl w:val="0"/>
              </w:rPr>
              <w:t xml:space="preserv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A">
            <w:pPr>
              <w:spacing w:line="276" w:lineRule="auto"/>
              <w:jc w:val="both"/>
              <w:rPr>
                <w:color w:val="1d1c1d"/>
                <w:sz w:val="20"/>
                <w:szCs w:val="20"/>
                <w:highlight w:val="white"/>
              </w:rPr>
            </w:pPr>
            <w:r w:rsidDel="00000000" w:rsidR="00000000" w:rsidRPr="00000000">
              <w:rPr>
                <w:sz w:val="20"/>
                <w:szCs w:val="20"/>
                <w:highlight w:val="white"/>
                <w:rtl w:val="0"/>
              </w:rPr>
              <w:t xml:space="preserve">aby v zmysle ustanovenia § 31 a nasl. zákona č. 40/1964 Zb. Občiansky zákonník v znení neskorších predpisov, v plnom rozsahu a bez akýchkoľvek obmedzení zastupoval Splnomocniteľa </w:t>
            </w:r>
            <w:r w:rsidDel="00000000" w:rsidR="00000000" w:rsidRPr="00000000">
              <w:rPr>
                <w:color w:val="1d1c1d"/>
                <w:sz w:val="20"/>
                <w:szCs w:val="20"/>
                <w:highlight w:val="white"/>
                <w:rtl w:val="0"/>
              </w:rPr>
              <w:t xml:space="preserve">v jeho mene a na jeho účet v súvislosti s prijímaním a odosielaním zásielok a balíkov Splnomocniteľa, a to aby najmä, nie však výlučne:</w:t>
            </w:r>
          </w:p>
          <w:p w:rsidR="00000000" w:rsidDel="00000000" w:rsidP="00000000" w:rsidRDefault="00000000" w:rsidRPr="00000000" w14:paraId="0000000B">
            <w:pPr>
              <w:spacing w:line="276" w:lineRule="auto"/>
              <w:jc w:val="both"/>
              <w:rPr>
                <w:color w:val="1d1c1d"/>
                <w:sz w:val="20"/>
                <w:szCs w:val="20"/>
                <w:highlight w:val="white"/>
              </w:rPr>
            </w:pPr>
            <w:r w:rsidDel="00000000" w:rsidR="00000000" w:rsidRPr="00000000">
              <w:rPr>
                <w:rtl w:val="0"/>
              </w:rPr>
            </w:r>
          </w:p>
          <w:p w:rsidR="00000000" w:rsidDel="00000000" w:rsidP="00000000" w:rsidRDefault="00000000" w:rsidRPr="00000000" w14:paraId="0000000C">
            <w:pPr>
              <w:numPr>
                <w:ilvl w:val="0"/>
                <w:numId w:val="2"/>
              </w:numPr>
              <w:spacing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pri konaní so Slovenskou poštou, a.s.: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both"/>
              <w:rPr>
                <w:color w:val="1d1c1d"/>
                <w:sz w:val="20"/>
                <w:szCs w:val="20"/>
                <w:highlight w:val="white"/>
              </w:rPr>
            </w:pPr>
            <w:r w:rsidDel="00000000" w:rsidR="00000000" w:rsidRPr="00000000">
              <w:rPr>
                <w:color w:val="1d1c1d"/>
                <w:sz w:val="20"/>
                <w:szCs w:val="20"/>
                <w:highlight w:val="white"/>
                <w:rtl w:val="0"/>
              </w:rPr>
              <w:t xml:space="preserve">pursuant to Section 31 et seq. of Act No. 40/1964 Coll. the Civil Code, as amended, to fully and without any restrictions represent the Principal in their name and on their account, in relation to accepting and dispatching mail and packages of the Principal, in particular, but not exclusively, to:  </w:t>
            </w:r>
          </w:p>
          <w:p w:rsidR="00000000" w:rsidDel="00000000" w:rsidP="00000000" w:rsidRDefault="00000000" w:rsidRPr="00000000" w14:paraId="0000000E">
            <w:pPr>
              <w:spacing w:line="276" w:lineRule="auto"/>
              <w:jc w:val="both"/>
              <w:rPr>
                <w:color w:val="1d1c1d"/>
                <w:sz w:val="20"/>
                <w:szCs w:val="20"/>
                <w:highlight w:val="white"/>
              </w:rPr>
            </w:pPr>
            <w:r w:rsidDel="00000000" w:rsidR="00000000" w:rsidRPr="00000000">
              <w:rPr>
                <w:rtl w:val="0"/>
              </w:rPr>
            </w:r>
          </w:p>
          <w:p w:rsidR="00000000" w:rsidDel="00000000" w:rsidP="00000000" w:rsidRDefault="00000000" w:rsidRPr="00000000" w14:paraId="0000000F">
            <w:pPr>
              <w:spacing w:line="276" w:lineRule="auto"/>
              <w:jc w:val="both"/>
              <w:rPr>
                <w:color w:val="1d1c1d"/>
                <w:sz w:val="20"/>
                <w:szCs w:val="20"/>
                <w:highlight w:val="white"/>
              </w:rPr>
            </w:pPr>
            <w:r w:rsidDel="00000000" w:rsidR="00000000" w:rsidRPr="00000000">
              <w:rPr>
                <w:rtl w:val="0"/>
              </w:rPr>
            </w:r>
          </w:p>
          <w:p w:rsidR="00000000" w:rsidDel="00000000" w:rsidP="00000000" w:rsidRDefault="00000000" w:rsidRPr="00000000" w14:paraId="00000010">
            <w:pPr>
              <w:spacing w:line="276" w:lineRule="auto"/>
              <w:jc w:val="both"/>
              <w:rPr>
                <w:color w:val="1d1c1d"/>
                <w:sz w:val="20"/>
                <w:szCs w:val="20"/>
                <w:highlight w:val="white"/>
              </w:rPr>
            </w:pPr>
            <w:r w:rsidDel="00000000" w:rsidR="00000000" w:rsidRPr="00000000">
              <w:rPr>
                <w:rtl w:val="0"/>
              </w:rPr>
            </w:r>
          </w:p>
          <w:p w:rsidR="00000000" w:rsidDel="00000000" w:rsidP="00000000" w:rsidRDefault="00000000" w:rsidRPr="00000000" w14:paraId="00000011">
            <w:pPr>
              <w:numPr>
                <w:ilvl w:val="0"/>
                <w:numId w:val="3"/>
              </w:numPr>
              <w:spacing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when acting with Slovenská pošta, a.s.:</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numPr>
                <w:ilvl w:val="0"/>
                <w:numId w:val="1"/>
              </w:numPr>
              <w:spacing w:line="276" w:lineRule="auto"/>
              <w:ind w:left="720" w:hanging="360"/>
              <w:jc w:val="both"/>
            </w:pPr>
            <w:r w:rsidDel="00000000" w:rsidR="00000000" w:rsidRPr="00000000">
              <w:rPr>
                <w:sz w:val="20"/>
                <w:szCs w:val="20"/>
                <w:rtl w:val="0"/>
              </w:rPr>
              <w:t xml:space="preserve">preberal (prijímal) zásielky a balíky určené Splnomocniteľovi, vrátane zásielok a balíkov so službou “Do vlastných rúk” </w:t>
            </w:r>
            <w:r w:rsidDel="00000000" w:rsidR="00000000" w:rsidRPr="00000000">
              <w:rPr>
                <w:sz w:val="20"/>
                <w:szCs w:val="20"/>
                <w:rtl w:val="0"/>
              </w:rPr>
              <w:t xml:space="preserve">doručovaných</w:t>
            </w:r>
            <w:r w:rsidDel="00000000" w:rsidR="00000000" w:rsidRPr="00000000">
              <w:rPr>
                <w:sz w:val="20"/>
                <w:szCs w:val="20"/>
                <w:rtl w:val="0"/>
              </w:rPr>
              <w:t xml:space="preserve"> Slovenskou poštou, vrátane jej kuriéra,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numPr>
                <w:ilvl w:val="0"/>
                <w:numId w:val="1"/>
              </w:numPr>
              <w:spacing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accept mail and packages addressed to the Principal, including mail and packages with the “Delivery to Addressee Only” service delivered by the Slovak Post, its courier included;</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numPr>
                <w:ilvl w:val="0"/>
                <w:numId w:val="1"/>
              </w:numPr>
              <w:spacing w:line="276" w:lineRule="auto"/>
              <w:ind w:left="720" w:hanging="360"/>
              <w:jc w:val="both"/>
            </w:pPr>
            <w:r w:rsidDel="00000000" w:rsidR="00000000" w:rsidRPr="00000000">
              <w:rPr>
                <w:sz w:val="20"/>
                <w:szCs w:val="20"/>
                <w:rtl w:val="0"/>
              </w:rPr>
              <w:t xml:space="preserve">preberal (prijímal) sumy určené Splnomocniteľovi, ktoré budú zaslané poštovým poukazom aj so službou “Do vlastných rúk”,</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numPr>
                <w:ilvl w:val="0"/>
                <w:numId w:val="1"/>
              </w:numPr>
              <w:spacing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accept money addressed to the Principal that will be sent using postal money order together with the “Delivery to Addressee Only” service;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numPr>
                <w:ilvl w:val="0"/>
                <w:numId w:val="1"/>
              </w:numPr>
              <w:spacing w:line="276" w:lineRule="auto"/>
              <w:ind w:left="720" w:hanging="360"/>
              <w:jc w:val="both"/>
            </w:pPr>
            <w:r w:rsidDel="00000000" w:rsidR="00000000" w:rsidRPr="00000000">
              <w:rPr>
                <w:sz w:val="20"/>
                <w:szCs w:val="20"/>
                <w:rtl w:val="0"/>
              </w:rPr>
              <w:t xml:space="preserve">preberal (prijímal) sumy určené Splnomocniteľovi, ktoré budú zaslané ePoukazom na výplatu,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1"/>
              </w:numPr>
              <w:spacing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accept money addressed to the Principal that will be sent using an electronic order “ePoukaz” for payment;</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numPr>
                <w:ilvl w:val="0"/>
                <w:numId w:val="1"/>
              </w:numPr>
              <w:spacing w:line="276" w:lineRule="auto"/>
              <w:ind w:left="720" w:hanging="360"/>
              <w:jc w:val="both"/>
            </w:pPr>
            <w:r w:rsidDel="00000000" w:rsidR="00000000" w:rsidRPr="00000000">
              <w:rPr>
                <w:sz w:val="20"/>
                <w:szCs w:val="20"/>
                <w:rtl w:val="0"/>
              </w:rPr>
              <w:t xml:space="preserve">preberal (prijímal) sumy SIPO určené na výplatu Splnomocniteľovi</w:t>
            </w:r>
            <w:r w:rsidDel="00000000" w:rsidR="00000000" w:rsidRPr="00000000">
              <w:rPr>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1"/>
              </w:numPr>
              <w:spacing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accept money sent using “SIPO” intended to be paid to the Principal;</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numPr>
                <w:ilvl w:val="0"/>
                <w:numId w:val="2"/>
              </w:numPr>
              <w:spacing w:line="276" w:lineRule="auto"/>
              <w:ind w:left="720" w:hanging="360"/>
              <w:jc w:val="both"/>
              <w:rPr>
                <w:color w:val="1d1c1d"/>
                <w:sz w:val="20"/>
                <w:szCs w:val="20"/>
                <w:highlight w:val="white"/>
              </w:rPr>
            </w:pPr>
            <w:r w:rsidDel="00000000" w:rsidR="00000000" w:rsidRPr="00000000">
              <w:rPr>
                <w:color w:val="1d1c1d"/>
                <w:sz w:val="20"/>
                <w:szCs w:val="20"/>
                <w:highlight w:val="white"/>
                <w:rtl w:val="0"/>
              </w:rPr>
              <w:t xml:space="preserve">pri konaní s akoukoľvek kuriérskou alebo inou doručovacou službou:</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numPr>
                <w:ilvl w:val="0"/>
                <w:numId w:val="3"/>
              </w:numPr>
              <w:spacing w:line="276" w:lineRule="auto"/>
              <w:ind w:left="720" w:hanging="360"/>
              <w:jc w:val="both"/>
              <w:rPr>
                <w:color w:val="1d1c1d"/>
                <w:sz w:val="20"/>
                <w:szCs w:val="20"/>
                <w:highlight w:val="white"/>
              </w:rPr>
            </w:pPr>
            <w:r w:rsidDel="00000000" w:rsidR="00000000" w:rsidRPr="00000000">
              <w:rPr>
                <w:color w:val="1d1c1d"/>
                <w:sz w:val="20"/>
                <w:szCs w:val="20"/>
                <w:highlight w:val="white"/>
                <w:rtl w:val="0"/>
              </w:rPr>
              <w:t xml:space="preserve">when acting with any courier or other delivery service: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numPr>
                <w:ilvl w:val="0"/>
                <w:numId w:val="1"/>
              </w:numPr>
              <w:shd w:fill="ffffff" w:val="clear"/>
              <w:spacing w:line="276" w:lineRule="auto"/>
              <w:ind w:left="720" w:hanging="360"/>
              <w:jc w:val="both"/>
            </w:pPr>
            <w:r w:rsidDel="00000000" w:rsidR="00000000" w:rsidRPr="00000000">
              <w:rPr>
                <w:sz w:val="20"/>
                <w:szCs w:val="20"/>
                <w:rtl w:val="0"/>
              </w:rPr>
              <w:t xml:space="preserve">preberal (prijímal) zásielky a balíky určené Splnomocniteľovi </w:t>
            </w:r>
            <w:r w:rsidDel="00000000" w:rsidR="00000000" w:rsidRPr="00000000">
              <w:rPr>
                <w:sz w:val="20"/>
                <w:szCs w:val="20"/>
                <w:rtl w:val="0"/>
              </w:rPr>
              <w:t xml:space="preserve">doručovaných</w:t>
            </w:r>
            <w:r w:rsidDel="00000000" w:rsidR="00000000" w:rsidRPr="00000000">
              <w:rPr>
                <w:sz w:val="20"/>
                <w:szCs w:val="20"/>
                <w:rtl w:val="0"/>
              </w:rPr>
              <w:t xml:space="preserve"> kuriérskou, prípadne inou doručovacou službou</w:t>
            </w:r>
            <w:r w:rsidDel="00000000" w:rsidR="00000000" w:rsidRPr="00000000">
              <w:rPr>
                <w:sz w:val="20"/>
                <w:szCs w:val="20"/>
                <w:rtl w:val="0"/>
              </w:rPr>
              <w:t xml:space="preserv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numPr>
                <w:ilvl w:val="0"/>
                <w:numId w:val="4"/>
              </w:numPr>
              <w:spacing w:line="276" w:lineRule="auto"/>
              <w:ind w:left="720" w:hanging="360"/>
              <w:jc w:val="both"/>
              <w:rPr>
                <w:color w:val="1d1c1d"/>
                <w:sz w:val="20"/>
                <w:szCs w:val="20"/>
                <w:highlight w:val="white"/>
                <w:u w:val="none"/>
              </w:rPr>
            </w:pPr>
            <w:r w:rsidDel="00000000" w:rsidR="00000000" w:rsidRPr="00000000">
              <w:rPr>
                <w:color w:val="1d1c1d"/>
                <w:sz w:val="20"/>
                <w:szCs w:val="20"/>
                <w:highlight w:val="white"/>
                <w:rtl w:val="0"/>
              </w:rPr>
              <w:t xml:space="preserve">accept mail and packages addressed to the Principal delivered by a courier or, alternatively, another delivery service.</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spacing w:line="276" w:lineRule="auto"/>
              <w:jc w:val="both"/>
              <w:rPr>
                <w:sz w:val="20"/>
                <w:szCs w:val="20"/>
              </w:rPr>
            </w:pPr>
            <w:commentRangeStart w:id="2"/>
            <w:r w:rsidDel="00000000" w:rsidR="00000000" w:rsidRPr="00000000">
              <w:rPr>
                <w:color w:val="1d1c1d"/>
                <w:sz w:val="20"/>
                <w:szCs w:val="20"/>
                <w:highlight w:val="yellow"/>
                <w:rtl w:val="0"/>
              </w:rPr>
              <w:t xml:space="preserve">Splnomocnenec je oprávnený splnomocniť tretiu osobu na výkon úkonov v mene Splnomocnenca a tým aj Splnomocniteľa v plnom rozsahu tohto plnomocenstva.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jc w:val="both"/>
              <w:rPr>
                <w:color w:val="1d1c1d"/>
                <w:sz w:val="20"/>
                <w:szCs w:val="20"/>
                <w:highlight w:val="yellow"/>
              </w:rPr>
            </w:pPr>
            <w:r w:rsidDel="00000000" w:rsidR="00000000" w:rsidRPr="00000000">
              <w:rPr>
                <w:color w:val="1d1c1d"/>
                <w:sz w:val="20"/>
                <w:szCs w:val="20"/>
                <w:highlight w:val="yellow"/>
                <w:rtl w:val="0"/>
              </w:rPr>
              <w:t xml:space="preserve">The Agent is entitled to authorize a third party to perform acts on behalf of the Agent, and thus also on behalf of the Principal, to the full extent of this power of attorney.</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tabs>
                <w:tab w:val="left" w:pos="0"/>
              </w:tabs>
              <w:spacing w:line="276" w:lineRule="auto"/>
              <w:jc w:val="both"/>
              <w:rPr>
                <w:color w:val="1d1c1d"/>
                <w:sz w:val="20"/>
                <w:szCs w:val="20"/>
                <w:highlight w:val="yellow"/>
              </w:rPr>
            </w:pPr>
            <w:commentRangeEnd w:id="2"/>
            <w:r w:rsidDel="00000000" w:rsidR="00000000" w:rsidRPr="00000000">
              <w:commentReference w:id="2"/>
            </w:r>
            <w:commentRangeStart w:id="3"/>
            <w:r w:rsidDel="00000000" w:rsidR="00000000" w:rsidRPr="00000000">
              <w:rPr>
                <w:color w:val="1d1c1d"/>
                <w:sz w:val="20"/>
                <w:szCs w:val="20"/>
                <w:rtl w:val="0"/>
              </w:rPr>
              <w:t xml:space="preserve">Toto plnomocenstvo je platné do jeho odvolania Splnomocniteľom alebo výpovede Splnomocnencom.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spacing w:line="276" w:lineRule="auto"/>
              <w:jc w:val="both"/>
              <w:rPr>
                <w:color w:val="1d1c1d"/>
                <w:sz w:val="20"/>
                <w:szCs w:val="20"/>
                <w:highlight w:val="white"/>
              </w:rPr>
            </w:pPr>
            <w:r w:rsidDel="00000000" w:rsidR="00000000" w:rsidRPr="00000000">
              <w:rPr>
                <w:color w:val="1d1c1d"/>
                <w:sz w:val="20"/>
                <w:szCs w:val="20"/>
                <w:highlight w:val="white"/>
                <w:rtl w:val="0"/>
              </w:rPr>
              <w:t xml:space="preserve">This power of attorney is valid until revoked by the Principal or terminated by the Agent.</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line="276" w:lineRule="auto"/>
              <w:jc w:val="both"/>
              <w:rPr>
                <w:color w:val="1d1c1d"/>
                <w:sz w:val="20"/>
                <w:szCs w:val="20"/>
              </w:rPr>
            </w:pPr>
            <w:bookmarkStart w:colFirst="0" w:colLast="0" w:name="_30j0zll" w:id="0"/>
            <w:bookmarkEnd w:id="0"/>
            <w:commentRangeEnd w:id="3"/>
            <w:r w:rsidDel="00000000" w:rsidR="00000000" w:rsidRPr="00000000">
              <w:commentReference w:id="3"/>
            </w:r>
            <w:r w:rsidDel="00000000" w:rsidR="00000000" w:rsidRPr="00000000">
              <w:rPr>
                <w:color w:val="1d1c1d"/>
                <w:sz w:val="20"/>
                <w:szCs w:val="20"/>
                <w:highlight w:val="white"/>
                <w:rtl w:val="0"/>
              </w:rPr>
              <w:t xml:space="preserve">Toto plnomocenstvo je vyhotovené v slovenskom a anglickom jazyku. V prípade rozporu medzi jednotlivými jazykovými verziami má prednosť slovenská verzia.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jc w:val="both"/>
              <w:rPr>
                <w:color w:val="1d1c1d"/>
                <w:sz w:val="20"/>
                <w:szCs w:val="20"/>
                <w:highlight w:val="white"/>
              </w:rPr>
            </w:pPr>
            <w:r w:rsidDel="00000000" w:rsidR="00000000" w:rsidRPr="00000000">
              <w:rPr>
                <w:color w:val="1d1c1d"/>
                <w:sz w:val="20"/>
                <w:szCs w:val="20"/>
                <w:highlight w:val="white"/>
                <w:rtl w:val="0"/>
              </w:rPr>
              <w:t xml:space="preserve">This power of attorney has been drawn up in Slovak and English language. In case of any discrepancies between the Slovak and the English language versions, the Slovak language version shall prevail.  </w:t>
            </w:r>
          </w:p>
        </w:tc>
      </w:tr>
    </w:tbl>
    <w:p w:rsidR="00000000" w:rsidDel="00000000" w:rsidP="00000000" w:rsidRDefault="00000000" w:rsidRPr="00000000" w14:paraId="00000024">
      <w:pPr>
        <w:spacing w:line="276" w:lineRule="auto"/>
        <w:jc w:val="both"/>
        <w:rPr>
          <w:sz w:val="20"/>
          <w:szCs w:val="20"/>
        </w:rPr>
      </w:pPr>
      <w:r w:rsidDel="00000000" w:rsidR="00000000" w:rsidRPr="00000000">
        <w:rPr>
          <w:rtl w:val="0"/>
        </w:rPr>
      </w:r>
    </w:p>
    <w:tbl>
      <w:tblPr>
        <w:tblStyle w:val="Table2"/>
        <w:tblW w:w="9630.0" w:type="dxa"/>
        <w:jc w:val="center"/>
        <w:tblBorders>
          <w:insideV w:color="000000" w:space="0" w:sz="4" w:val="single"/>
        </w:tblBorders>
        <w:tblLayout w:type="fixed"/>
        <w:tblLook w:val="0000"/>
      </w:tblPr>
      <w:tblGrid>
        <w:gridCol w:w="9630"/>
        <w:tblGridChange w:id="0">
          <w:tblGrid>
            <w:gridCol w:w="9630"/>
          </w:tblGrid>
        </w:tblGridChange>
      </w:tblGrid>
      <w:tr>
        <w:trPr>
          <w:cantSplit w:val="0"/>
          <w:tblHeader w:val="0"/>
        </w:trPr>
        <w:tc>
          <w:tcPr/>
          <w:p w:rsidR="00000000" w:rsidDel="00000000" w:rsidP="00000000" w:rsidRDefault="00000000" w:rsidRPr="00000000" w14:paraId="00000025">
            <w:pPr>
              <w:spacing w:line="276" w:lineRule="auto"/>
              <w:jc w:val="left"/>
              <w:rPr>
                <w:color w:val="000000"/>
                <w:sz w:val="20"/>
                <w:szCs w:val="20"/>
              </w:rPr>
            </w:pPr>
            <w:r w:rsidDel="00000000" w:rsidR="00000000" w:rsidRPr="00000000">
              <w:rPr>
                <w:rtl w:val="0"/>
              </w:rPr>
            </w:r>
          </w:p>
        </w:tc>
      </w:tr>
    </w:tbl>
    <w:p w:rsidR="00000000" w:rsidDel="00000000" w:rsidP="00000000" w:rsidRDefault="00000000" w:rsidRPr="00000000" w14:paraId="00000026">
      <w:pPr>
        <w:spacing w:after="200" w:before="200" w:line="276" w:lineRule="auto"/>
        <w:jc w:val="center"/>
        <w:rPr>
          <w:sz w:val="20"/>
          <w:szCs w:val="20"/>
        </w:rPr>
      </w:pPr>
      <w:r w:rsidDel="00000000" w:rsidR="00000000" w:rsidRPr="00000000">
        <w:rPr>
          <w:sz w:val="20"/>
          <w:szCs w:val="20"/>
          <w:rtl w:val="0"/>
        </w:rPr>
        <w:t xml:space="preserve">V / In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obec/municipality</w:t>
      </w:r>
      <w:r w:rsidDel="00000000" w:rsidR="00000000" w:rsidRPr="00000000">
        <w:rPr>
          <w:color w:val="1d1c1d"/>
          <w:sz w:val="20"/>
          <w:szCs w:val="20"/>
          <w:highlight w:val="white"/>
          <w:rtl w:val="0"/>
        </w:rPr>
        <w:t xml:space="preserve">]</w:t>
      </w:r>
      <w:r w:rsidDel="00000000" w:rsidR="00000000" w:rsidRPr="00000000">
        <w:rPr>
          <w:sz w:val="20"/>
          <w:szCs w:val="20"/>
          <w:rtl w:val="0"/>
        </w:rPr>
        <w:t xml:space="preserve">, dňa / on </w:t>
      </w:r>
      <w:r w:rsidDel="00000000" w:rsidR="00000000" w:rsidRPr="00000000">
        <w:rPr>
          <w:color w:val="1d1c1d"/>
          <w:sz w:val="20"/>
          <w:szCs w:val="20"/>
          <w:highlight w:val="white"/>
          <w:rtl w:val="0"/>
        </w:rPr>
        <w:t xml:space="preserve">[</w:t>
      </w:r>
      <w:r w:rsidDel="00000000" w:rsidR="00000000" w:rsidRPr="00000000">
        <w:rPr>
          <w:color w:val="1d1c1d"/>
          <w:sz w:val="20"/>
          <w:szCs w:val="20"/>
          <w:highlight w:val="yellow"/>
          <w:rtl w:val="0"/>
        </w:rPr>
        <w:t xml:space="preserve">deň, mesiac, rok / day, month, year</w:t>
      </w:r>
      <w:r w:rsidDel="00000000" w:rsidR="00000000" w:rsidRPr="00000000">
        <w:rPr>
          <w:color w:val="1d1c1d"/>
          <w:sz w:val="20"/>
          <w:szCs w:val="20"/>
          <w:highlight w:val="white"/>
          <w:rtl w:val="0"/>
        </w:rPr>
        <w:t xml:space="preserve">]</w:t>
      </w:r>
      <w:r w:rsidDel="00000000" w:rsidR="00000000" w:rsidRPr="00000000">
        <w:rPr>
          <w:rtl w:val="0"/>
        </w:rPr>
      </w:r>
    </w:p>
    <w:p w:rsidR="00000000" w:rsidDel="00000000" w:rsidP="00000000" w:rsidRDefault="00000000" w:rsidRPr="00000000" w14:paraId="00000027">
      <w:pPr>
        <w:spacing w:line="276" w:lineRule="auto"/>
        <w:jc w:val="center"/>
        <w:rPr>
          <w:sz w:val="20"/>
          <w:szCs w:val="20"/>
        </w:rPr>
      </w:pPr>
      <w:r w:rsidDel="00000000" w:rsidR="00000000" w:rsidRPr="00000000">
        <w:rPr>
          <w:rtl w:val="0"/>
        </w:rPr>
      </w:r>
    </w:p>
    <w:p w:rsidR="00000000" w:rsidDel="00000000" w:rsidP="00000000" w:rsidRDefault="00000000" w:rsidRPr="00000000" w14:paraId="00000028">
      <w:pPr>
        <w:spacing w:line="276" w:lineRule="auto"/>
        <w:jc w:val="center"/>
        <w:rPr>
          <w:sz w:val="20"/>
          <w:szCs w:val="20"/>
        </w:rPr>
      </w:pPr>
      <w:r w:rsidDel="00000000" w:rsidR="00000000" w:rsidRPr="00000000">
        <w:rPr>
          <w:rtl w:val="0"/>
        </w:rPr>
      </w:r>
    </w:p>
    <w:p w:rsidR="00000000" w:rsidDel="00000000" w:rsidP="00000000" w:rsidRDefault="00000000" w:rsidRPr="00000000" w14:paraId="00000029">
      <w:pPr>
        <w:spacing w:line="276" w:lineRule="auto"/>
        <w:jc w:val="center"/>
        <w:rPr>
          <w:sz w:val="20"/>
          <w:szCs w:val="20"/>
        </w:rPr>
      </w:pPr>
      <w:r w:rsidDel="00000000" w:rsidR="00000000" w:rsidRPr="00000000">
        <w:rPr>
          <w:sz w:val="20"/>
          <w:szCs w:val="20"/>
          <w:rtl w:val="0"/>
        </w:rPr>
        <w:t xml:space="preserve">________________________</w:t>
      </w:r>
    </w:p>
    <w:p w:rsidR="00000000" w:rsidDel="00000000" w:rsidP="00000000" w:rsidRDefault="00000000" w:rsidRPr="00000000" w14:paraId="0000002A">
      <w:pPr>
        <w:spacing w:line="276" w:lineRule="auto"/>
        <w:jc w:val="center"/>
        <w:rPr>
          <w:sz w:val="20"/>
          <w:szCs w:val="20"/>
          <w:highlight w:val="white"/>
        </w:rPr>
      </w:pPr>
      <w:commentRangeStart w:id="4"/>
      <w:r w:rsidDel="00000000" w:rsidR="00000000" w:rsidRPr="00000000">
        <w:rPr>
          <w:sz w:val="20"/>
          <w:szCs w:val="20"/>
          <w:highlight w:val="white"/>
          <w:rtl w:val="0"/>
        </w:rPr>
        <w:t xml:space="preserve">[</w:t>
      </w:r>
      <w:r w:rsidDel="00000000" w:rsidR="00000000" w:rsidRPr="00000000">
        <w:rPr>
          <w:sz w:val="20"/>
          <w:szCs w:val="20"/>
          <w:highlight w:val="yellow"/>
          <w:rtl w:val="0"/>
        </w:rPr>
        <w:t xml:space="preserve">meno a priezvisko / name and surname</w:t>
      </w:r>
      <w:r w:rsidDel="00000000" w:rsidR="00000000" w:rsidRPr="00000000">
        <w:rPr>
          <w:sz w:val="20"/>
          <w:szCs w:val="20"/>
          <w:highlight w:val="white"/>
          <w:rtl w:val="0"/>
        </w:rPr>
        <w:t xml:space="preserve">]</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B">
      <w:pPr>
        <w:spacing w:line="276" w:lineRule="auto"/>
        <w:jc w:val="center"/>
        <w:rPr>
          <w:sz w:val="20"/>
          <w:szCs w:val="20"/>
        </w:rPr>
      </w:pPr>
      <w:r w:rsidDel="00000000" w:rsidR="00000000" w:rsidRPr="00000000">
        <w:rPr>
          <w:i w:val="1"/>
          <w:sz w:val="20"/>
          <w:szCs w:val="20"/>
          <w:highlight w:val="white"/>
          <w:rtl w:val="0"/>
        </w:rPr>
        <w:t xml:space="preserve">(notársky overený podpis / notarized signature)</w:t>
      </w:r>
      <w:r w:rsidDel="00000000" w:rsidR="00000000" w:rsidRPr="00000000">
        <w:rPr>
          <w:rtl w:val="0"/>
        </w:rPr>
      </w:r>
    </w:p>
    <w:p w:rsidR="00000000" w:rsidDel="00000000" w:rsidP="00000000" w:rsidRDefault="00000000" w:rsidRPr="00000000" w14:paraId="0000002C">
      <w:pPr>
        <w:spacing w:line="276" w:lineRule="auto"/>
        <w:jc w:val="center"/>
        <w:rPr>
          <w:sz w:val="20"/>
          <w:szCs w:val="20"/>
        </w:rPr>
      </w:pPr>
      <w:r w:rsidDel="00000000" w:rsidR="00000000" w:rsidRPr="00000000">
        <w:rPr>
          <w:rtl w:val="0"/>
        </w:rPr>
      </w:r>
    </w:p>
    <w:p w:rsidR="00000000" w:rsidDel="00000000" w:rsidP="00000000" w:rsidRDefault="00000000" w:rsidRPr="00000000" w14:paraId="0000002D">
      <w:pPr>
        <w:spacing w:line="276" w:lineRule="auto"/>
        <w:jc w:val="both"/>
        <w:rPr>
          <w:color w:val="000000"/>
          <w:sz w:val="20"/>
          <w:szCs w:val="20"/>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enka Letková" w:id="1" w:date="2022-07-15T08:03:21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údaje osoby, ktorej udeľuješ plnú moc.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personal details of the person to whom you are granting the power of attorney.</w:t>
      </w:r>
    </w:p>
  </w:comment>
  <w:comment w:author="Lenka Letková" w:id="2" w:date="2022-07-15T08:03:37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Ponecháš v prípade, ak súhlasíš s tým, že osoba, ktorá prijíme plnomocenstvo môže na základe tohto plnomocenstva splnomocniť ďalšiu osobu. Ak s tým nesúhlasíš, túto vetu vymažeš.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Keep this clause if you agree that the person who accepts the power of attorney can authorize another person based on this power of attorney. If you do not agree, delete this clause.</w:t>
      </w:r>
    </w:p>
  </w:comment>
  <w:comment w:author="Lenka Letková" w:id="4" w:date="2022-07-15T11:13:35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svoje údaje.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your personal details.</w:t>
      </w:r>
    </w:p>
  </w:comment>
  <w:comment w:author="Lenka Letková" w:id="3" w:date="2022-07-15T08:04:05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Alternatívne môžeš plnomocenstvo nastaviť na určitú dobu (trvanie), napr. "Toto plnomocenstvo je udelené na [dobu neurčitú/na dobu [počet] rokov/jedného rok".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Alternatively, you can grant the power of attorney for a fixed period (duration), e.g. "This power of attorney is granted for [indefinite period/for [number of] years/one year".</w:t>
      </w:r>
    </w:p>
  </w:comment>
  <w:comment w:author="Lenka Letková" w:id="0" w:date="2022-07-15T08:03:03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 Doplníš svoje údaje.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Fill in your personal details.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